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beforeLines="25" w:line="360" w:lineRule="auto"/>
        <w:rPr>
          <w:rFonts w:ascii="仿宋" w:hAnsi="仿宋" w:eastAsia="仿宋" w:cs="宋体"/>
          <w:b/>
          <w:bCs/>
          <w:sz w:val="24"/>
        </w:rPr>
      </w:pPr>
      <w:r>
        <w:rPr>
          <w:rFonts w:hint="eastAsia" w:ascii="仿宋" w:hAnsi="仿宋" w:eastAsia="仿宋" w:cs="宋体"/>
          <w:b/>
          <w:bCs/>
          <w:sz w:val="24"/>
        </w:rPr>
        <w:t>附件2：</w:t>
      </w:r>
    </w:p>
    <w:p>
      <w:pPr>
        <w:spacing w:before="78" w:beforeLines="25" w:line="360" w:lineRule="auto"/>
        <w:ind w:firstLine="2409" w:firstLineChars="1000"/>
        <w:rPr>
          <w:rFonts w:ascii="仿宋" w:hAnsi="仿宋" w:eastAsia="仿宋" w:cs="宋体"/>
          <w:b/>
          <w:bCs/>
          <w:sz w:val="24"/>
        </w:rPr>
      </w:pPr>
      <w:r>
        <w:rPr>
          <w:rFonts w:hint="eastAsia" w:ascii="仿宋" w:hAnsi="仿宋" w:eastAsia="仿宋" w:cs="宋体"/>
          <w:b/>
          <w:bCs/>
          <w:sz w:val="24"/>
        </w:rPr>
        <w:t>企业经营财务指标参考标准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3434"/>
        <w:gridCol w:w="1233"/>
        <w:gridCol w:w="121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spacing w:before="78" w:beforeLines="25" w:line="360" w:lineRule="auto"/>
              <w:rPr>
                <w:rFonts w:ascii="仿宋" w:hAnsi="仿宋" w:eastAsia="仿宋" w:cs="宋体"/>
                <w:b/>
                <w:bCs/>
                <w:kern w:val="0"/>
                <w:sz w:val="24"/>
              </w:rPr>
            </w:pPr>
            <w:r>
              <w:rPr>
                <w:rFonts w:hint="eastAsia" w:ascii="仿宋" w:hAnsi="仿宋" w:eastAsia="仿宋" w:cs="宋体"/>
                <w:b/>
                <w:bCs/>
                <w:kern w:val="0"/>
                <w:sz w:val="24"/>
              </w:rPr>
              <w:t>序号</w:t>
            </w:r>
          </w:p>
        </w:tc>
        <w:tc>
          <w:tcPr>
            <w:tcW w:w="3434" w:type="dxa"/>
          </w:tcPr>
          <w:p>
            <w:pPr>
              <w:spacing w:before="78" w:beforeLines="25" w:line="360" w:lineRule="auto"/>
              <w:rPr>
                <w:rFonts w:ascii="仿宋" w:hAnsi="仿宋" w:eastAsia="仿宋" w:cs="宋体"/>
                <w:b/>
                <w:bCs/>
                <w:kern w:val="0"/>
                <w:sz w:val="24"/>
              </w:rPr>
            </w:pPr>
            <w:r>
              <w:rPr>
                <w:rFonts w:hint="eastAsia" w:ascii="仿宋" w:hAnsi="仿宋" w:eastAsia="仿宋" w:cs="宋体"/>
                <w:b/>
                <w:bCs/>
                <w:kern w:val="0"/>
                <w:sz w:val="24"/>
              </w:rPr>
              <w:t>国民经济行业分类</w:t>
            </w:r>
          </w:p>
        </w:tc>
        <w:tc>
          <w:tcPr>
            <w:tcW w:w="1233" w:type="dxa"/>
          </w:tcPr>
          <w:p>
            <w:pPr>
              <w:spacing w:before="78" w:beforeLines="25" w:line="360" w:lineRule="auto"/>
              <w:rPr>
                <w:rFonts w:ascii="仿宋" w:hAnsi="仿宋" w:eastAsia="仿宋" w:cs="宋体"/>
                <w:b/>
                <w:bCs/>
                <w:kern w:val="0"/>
                <w:sz w:val="24"/>
              </w:rPr>
            </w:pPr>
            <w:r>
              <w:rPr>
                <w:rFonts w:hint="eastAsia" w:ascii="仿宋" w:hAnsi="仿宋" w:eastAsia="仿宋" w:cs="宋体"/>
                <w:b/>
                <w:bCs/>
                <w:kern w:val="0"/>
                <w:sz w:val="24"/>
              </w:rPr>
              <w:t>资产总额（亿元）</w:t>
            </w:r>
          </w:p>
        </w:tc>
        <w:tc>
          <w:tcPr>
            <w:tcW w:w="1214" w:type="dxa"/>
          </w:tcPr>
          <w:p>
            <w:pPr>
              <w:spacing w:before="78" w:beforeLines="25" w:line="360" w:lineRule="auto"/>
              <w:rPr>
                <w:rFonts w:ascii="仿宋" w:hAnsi="仿宋" w:eastAsia="仿宋" w:cs="宋体"/>
                <w:b/>
                <w:bCs/>
                <w:kern w:val="0"/>
                <w:sz w:val="24"/>
              </w:rPr>
            </w:pPr>
            <w:r>
              <w:rPr>
                <w:rFonts w:hint="eastAsia" w:ascii="仿宋" w:hAnsi="仿宋" w:eastAsia="仿宋" w:cs="宋体"/>
                <w:b/>
                <w:bCs/>
                <w:kern w:val="0"/>
                <w:sz w:val="24"/>
              </w:rPr>
              <w:t>营业收入（亿元）</w:t>
            </w:r>
          </w:p>
        </w:tc>
        <w:tc>
          <w:tcPr>
            <w:tcW w:w="1705" w:type="dxa"/>
          </w:tcPr>
          <w:p>
            <w:pPr>
              <w:spacing w:before="78" w:beforeLines="25" w:line="360" w:lineRule="auto"/>
              <w:rPr>
                <w:rFonts w:ascii="仿宋" w:hAnsi="仿宋" w:eastAsia="仿宋" w:cs="宋体"/>
                <w:b/>
                <w:bCs/>
                <w:kern w:val="0"/>
                <w:sz w:val="24"/>
              </w:rPr>
            </w:pPr>
            <w:r>
              <w:rPr>
                <w:rFonts w:hint="eastAsia" w:ascii="仿宋" w:hAnsi="仿宋" w:eastAsia="仿宋" w:cs="宋体"/>
                <w:b/>
                <w:bCs/>
                <w:kern w:val="0"/>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第一类</w:t>
            </w:r>
          </w:p>
        </w:tc>
        <w:tc>
          <w:tcPr>
            <w:tcW w:w="3434"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农林渔牧业；批发和零售业；住宿和餐饮业；租赁和商业服务业；科学研究和技术服务业；居民服务、修理和其他服务业；教育；卫生和社会工作；文化、体育和娱乐业。</w:t>
            </w:r>
          </w:p>
        </w:tc>
        <w:tc>
          <w:tcPr>
            <w:tcW w:w="1233"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＞1000</w:t>
            </w:r>
          </w:p>
        </w:tc>
        <w:tc>
          <w:tcPr>
            <w:tcW w:w="1214"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＞1000</w:t>
            </w:r>
          </w:p>
        </w:tc>
        <w:tc>
          <w:tcPr>
            <w:tcW w:w="1705" w:type="dxa"/>
            <w:vMerge w:val="restart"/>
          </w:tcPr>
          <w:p>
            <w:pPr>
              <w:spacing w:before="78" w:beforeLines="25" w:line="360" w:lineRule="auto"/>
              <w:jc w:val="center"/>
              <w:rPr>
                <w:rFonts w:ascii="仿宋" w:hAnsi="仿宋" w:eastAsia="仿宋" w:cs="宋体"/>
                <w:kern w:val="0"/>
                <w:sz w:val="24"/>
              </w:rPr>
            </w:pPr>
          </w:p>
          <w:p>
            <w:pPr>
              <w:spacing w:before="78" w:beforeLines="25" w:line="360" w:lineRule="auto"/>
              <w:jc w:val="center"/>
              <w:rPr>
                <w:rFonts w:ascii="仿宋" w:hAnsi="仿宋" w:eastAsia="仿宋" w:cs="宋体"/>
                <w:kern w:val="0"/>
                <w:sz w:val="24"/>
              </w:rPr>
            </w:pPr>
          </w:p>
          <w:p>
            <w:pPr>
              <w:spacing w:before="78" w:beforeLines="25" w:line="360" w:lineRule="auto"/>
              <w:jc w:val="center"/>
              <w:rPr>
                <w:rFonts w:ascii="仿宋" w:hAnsi="仿宋" w:eastAsia="仿宋" w:cs="宋体"/>
                <w:kern w:val="0"/>
                <w:sz w:val="24"/>
              </w:rPr>
            </w:pPr>
          </w:p>
          <w:p>
            <w:pPr>
              <w:spacing w:before="78" w:beforeLines="25" w:line="360" w:lineRule="auto"/>
              <w:jc w:val="center"/>
              <w:rPr>
                <w:rFonts w:ascii="仿宋" w:hAnsi="仿宋" w:eastAsia="仿宋" w:cs="宋体"/>
                <w:kern w:val="0"/>
                <w:sz w:val="24"/>
              </w:rPr>
            </w:pPr>
          </w:p>
          <w:p>
            <w:pPr>
              <w:spacing w:before="78" w:beforeLines="25" w:line="360" w:lineRule="auto"/>
              <w:rPr>
                <w:rFonts w:ascii="仿宋" w:hAnsi="仿宋" w:eastAsia="仿宋" w:cs="宋体"/>
                <w:kern w:val="0"/>
                <w:sz w:val="24"/>
              </w:rPr>
            </w:pPr>
            <w:r>
              <w:rPr>
                <w:rFonts w:hint="eastAsia" w:ascii="仿宋" w:hAnsi="仿宋" w:eastAsia="仿宋" w:cs="宋体"/>
                <w:kern w:val="0"/>
                <w:sz w:val="24"/>
              </w:rPr>
              <w:t>不超过所在行业资产负债率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第二类</w:t>
            </w:r>
          </w:p>
        </w:tc>
        <w:tc>
          <w:tcPr>
            <w:tcW w:w="3434"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交通运输、仓储和邮政业；水利、环境和公共设施管理业；电力、热力、燃气及水生产和供应业；综合。</w:t>
            </w:r>
          </w:p>
        </w:tc>
        <w:tc>
          <w:tcPr>
            <w:tcW w:w="1233"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＞1000</w:t>
            </w:r>
          </w:p>
        </w:tc>
        <w:tc>
          <w:tcPr>
            <w:tcW w:w="1214"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＞1000</w:t>
            </w:r>
          </w:p>
        </w:tc>
        <w:tc>
          <w:tcPr>
            <w:tcW w:w="1705" w:type="dxa"/>
            <w:vMerge w:val="continue"/>
          </w:tcPr>
          <w:p>
            <w:pPr>
              <w:spacing w:before="78" w:beforeLines="25" w:line="360" w:lineRule="auto"/>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6"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第三类</w:t>
            </w:r>
          </w:p>
        </w:tc>
        <w:tc>
          <w:tcPr>
            <w:tcW w:w="3434"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采矿业；制造业；信息传输、软件和信息技术服务业。</w:t>
            </w:r>
          </w:p>
        </w:tc>
        <w:tc>
          <w:tcPr>
            <w:tcW w:w="1233"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＞1200</w:t>
            </w:r>
          </w:p>
        </w:tc>
        <w:tc>
          <w:tcPr>
            <w:tcW w:w="1214"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＞800</w:t>
            </w:r>
          </w:p>
        </w:tc>
        <w:tc>
          <w:tcPr>
            <w:tcW w:w="1705" w:type="dxa"/>
            <w:vMerge w:val="continue"/>
          </w:tcPr>
          <w:p>
            <w:pPr>
              <w:spacing w:before="78" w:beforeLines="25" w:line="360" w:lineRule="auto"/>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36"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第四类</w:t>
            </w:r>
          </w:p>
        </w:tc>
        <w:tc>
          <w:tcPr>
            <w:tcW w:w="3434"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建筑业；房地产业。</w:t>
            </w:r>
          </w:p>
        </w:tc>
        <w:tc>
          <w:tcPr>
            <w:tcW w:w="1233"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＞1500</w:t>
            </w:r>
          </w:p>
        </w:tc>
        <w:tc>
          <w:tcPr>
            <w:tcW w:w="1214" w:type="dxa"/>
          </w:tcPr>
          <w:p>
            <w:pPr>
              <w:spacing w:before="78" w:beforeLines="25" w:line="360" w:lineRule="auto"/>
              <w:rPr>
                <w:rFonts w:ascii="仿宋" w:hAnsi="仿宋" w:eastAsia="仿宋" w:cs="宋体"/>
                <w:kern w:val="0"/>
                <w:sz w:val="24"/>
              </w:rPr>
            </w:pPr>
            <w:r>
              <w:rPr>
                <w:rFonts w:hint="eastAsia" w:ascii="仿宋" w:hAnsi="仿宋" w:eastAsia="仿宋" w:cs="宋体"/>
                <w:kern w:val="0"/>
                <w:sz w:val="24"/>
              </w:rPr>
              <w:t>＞300</w:t>
            </w:r>
          </w:p>
        </w:tc>
        <w:tc>
          <w:tcPr>
            <w:tcW w:w="1705" w:type="dxa"/>
            <w:vMerge w:val="continue"/>
          </w:tcPr>
          <w:p>
            <w:pPr>
              <w:spacing w:before="78" w:beforeLines="25" w:line="360" w:lineRule="auto"/>
              <w:rPr>
                <w:rFonts w:ascii="仿宋" w:hAnsi="仿宋" w:eastAsia="仿宋" w:cs="宋体"/>
                <w:kern w:val="0"/>
                <w:sz w:val="24"/>
              </w:rPr>
            </w:pPr>
          </w:p>
        </w:tc>
      </w:tr>
    </w:tbl>
    <w:p>
      <w:pPr>
        <w:spacing w:before="156" w:beforeLines="50" w:line="360" w:lineRule="auto"/>
        <w:rPr>
          <w:rFonts w:ascii="仿宋" w:hAnsi="仿宋" w:eastAsia="仿宋"/>
          <w:sz w:val="24"/>
        </w:rPr>
      </w:pPr>
      <w:r>
        <w:rPr>
          <w:rFonts w:hint="eastAsia" w:ascii="仿宋" w:hAnsi="仿宋" w:eastAsia="仿宋"/>
          <w:sz w:val="24"/>
        </w:rPr>
        <w:t>注：</w:t>
      </w:r>
    </w:p>
    <w:p>
      <w:pPr>
        <w:spacing w:before="156" w:beforeLines="50" w:line="360" w:lineRule="auto"/>
        <w:ind w:firstLine="480" w:firstLineChars="200"/>
        <w:rPr>
          <w:rFonts w:ascii="仿宋" w:hAnsi="仿宋" w:eastAsia="仿宋"/>
          <w:sz w:val="24"/>
        </w:rPr>
      </w:pPr>
      <w:r>
        <w:rPr>
          <w:rFonts w:hint="eastAsia" w:ascii="仿宋" w:hAnsi="仿宋" w:eastAsia="仿宋"/>
          <w:sz w:val="24"/>
        </w:rPr>
        <w:t>资产总额、营业收入可按照企业最近一年经审计财务数据或最近三年经审计财务数据的平均数计算。申报企业原则上应同时满足该两项指标，其中，第一类企业满足资产总额或营业收入指标其一即可。</w:t>
      </w:r>
    </w:p>
    <w:p>
      <w:pPr>
        <w:spacing w:before="156" w:beforeLines="50" w:line="360" w:lineRule="auto"/>
        <w:ind w:firstLine="480" w:firstLineChars="200"/>
        <w:rPr>
          <w:rFonts w:ascii="仿宋" w:hAnsi="仿宋" w:eastAsia="仿宋"/>
          <w:sz w:val="24"/>
        </w:rPr>
      </w:pPr>
      <w:r>
        <w:rPr>
          <w:rFonts w:hint="eastAsia" w:ascii="仿宋" w:hAnsi="仿宋" w:eastAsia="仿宋"/>
          <w:sz w:val="24"/>
        </w:rPr>
        <w:t>资产负债率按照企业最近一年经审计财务数据计算。资产负债率重点监管线按照《中共中央办公厅国务院办公厅关于加强国有企业资产负债约束的指导意见》要求，由相关部门确定。</w:t>
      </w:r>
    </w:p>
    <w:p>
      <w:pPr>
        <w:spacing w:before="156" w:beforeLines="50" w:line="360" w:lineRule="auto"/>
        <w:ind w:firstLine="480" w:firstLineChars="200"/>
        <w:rPr>
          <w:rFonts w:ascii="仿宋" w:hAnsi="仿宋" w:eastAsia="仿宋"/>
          <w:sz w:val="24"/>
        </w:rPr>
      </w:pPr>
      <w:r>
        <w:rPr>
          <w:rFonts w:hint="eastAsia" w:ascii="仿宋" w:hAnsi="仿宋" w:eastAsia="仿宋"/>
          <w:sz w:val="24"/>
        </w:rPr>
        <w:t>区域领先的优质企业，由各省、自治区、直辖市或计划单列市发展改革部门根据区域经济发展情况并参照以上标准从严择优推荐。</w:t>
      </w:r>
    </w:p>
    <w:p>
      <w:pPr>
        <w:spacing w:before="156" w:beforeLines="50" w:line="360" w:lineRule="auto"/>
        <w:ind w:firstLine="480" w:firstLineChars="200"/>
        <w:rPr>
          <w:rFonts w:ascii="仿宋" w:hAnsi="仿宋" w:eastAsia="仿宋"/>
          <w:sz w:val="24"/>
        </w:rPr>
      </w:pPr>
      <w:r>
        <w:rPr>
          <w:rFonts w:hint="eastAsia" w:ascii="仿宋" w:hAnsi="仿宋" w:eastAsia="仿宋"/>
          <w:sz w:val="24"/>
        </w:rPr>
        <w:t>国家结合经济社会发展，适时调整优质企业经营财务指标参考标准。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F47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2021-09-27T04:43:46Z</dcterms:created>
  <dc:creator>Administrator</dc:creator>
  <cp:lastModifiedBy>Administrator</cp:lastModifiedBy>
  <dcterms:modified xsi:type="dcterms:W3CDTF">2021-09-27T04:43:54Z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B02877B9F3F7425DA9ABCBC93B3A086E</vt:lpwstr>
  </property>
</Properties>
</file>